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1AC2" w14:textId="0EE96268" w:rsidR="00703D98" w:rsidRDefault="00703D98" w:rsidP="00673E72">
      <w:pPr>
        <w:rPr>
          <w:rFonts w:ascii="Calibri" w:eastAsia="Times New Roman" w:hAnsi="Calibri" w:cs="Calibri"/>
          <w:color w:val="000000"/>
          <w:sz w:val="22"/>
          <w:szCs w:val="22"/>
        </w:rPr>
      </w:pPr>
    </w:p>
    <w:p w14:paraId="61ECEC04" w14:textId="4EBBD3BF"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October 11, 2021</w:t>
      </w:r>
    </w:p>
    <w:p w14:paraId="3838E3C8" w14:textId="798739FB" w:rsidR="00AF094C" w:rsidRDefault="00AF094C" w:rsidP="00673E72">
      <w:pPr>
        <w:rPr>
          <w:rFonts w:ascii="Calibri" w:eastAsia="Times New Roman" w:hAnsi="Calibri" w:cs="Calibri"/>
          <w:color w:val="000000"/>
          <w:sz w:val="22"/>
          <w:szCs w:val="22"/>
        </w:rPr>
      </w:pPr>
    </w:p>
    <w:p w14:paraId="53C85994" w14:textId="1BD17BD8"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Ms. Margaret Rose</w:t>
      </w:r>
    </w:p>
    <w:p w14:paraId="4E88DE3E" w14:textId="20E29FE2"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Division of Medical Assistance and Health Services </w:t>
      </w:r>
    </w:p>
    <w:p w14:paraId="753F23F4" w14:textId="797F385A"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Office of Legal and Regulatory Affairs</w:t>
      </w:r>
    </w:p>
    <w:p w14:paraId="20A1DFFD" w14:textId="2C4F28CF" w:rsidR="00AF094C" w:rsidRDefault="00AF094C" w:rsidP="007E70D0">
      <w:pPr>
        <w:tabs>
          <w:tab w:val="left" w:pos="6503"/>
        </w:tabs>
        <w:rPr>
          <w:rFonts w:ascii="Calibri" w:eastAsia="Times New Roman" w:hAnsi="Calibri" w:cs="Calibri"/>
          <w:color w:val="000000"/>
          <w:sz w:val="22"/>
          <w:szCs w:val="22"/>
        </w:rPr>
      </w:pPr>
      <w:r>
        <w:rPr>
          <w:rFonts w:ascii="Calibri" w:eastAsia="Times New Roman" w:hAnsi="Calibri" w:cs="Calibri"/>
          <w:color w:val="000000"/>
          <w:sz w:val="22"/>
          <w:szCs w:val="22"/>
        </w:rPr>
        <w:t>P.O. Box 712</w:t>
      </w:r>
      <w:r w:rsidR="007E70D0">
        <w:rPr>
          <w:rFonts w:ascii="Calibri" w:eastAsia="Times New Roman" w:hAnsi="Calibri" w:cs="Calibri"/>
          <w:color w:val="000000"/>
          <w:sz w:val="22"/>
          <w:szCs w:val="22"/>
        </w:rPr>
        <w:tab/>
      </w:r>
    </w:p>
    <w:p w14:paraId="1A4DFB3E" w14:textId="549B9F58"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Trenton, NJ 08625-0712</w:t>
      </w:r>
    </w:p>
    <w:p w14:paraId="713CC83C" w14:textId="43DA9AC3" w:rsidR="00AF094C" w:rsidRDefault="00AF094C" w:rsidP="00673E72">
      <w:pPr>
        <w:rPr>
          <w:rFonts w:ascii="Calibri" w:eastAsia="Times New Roman" w:hAnsi="Calibri" w:cs="Calibri"/>
          <w:color w:val="000000"/>
          <w:sz w:val="22"/>
          <w:szCs w:val="22"/>
        </w:rPr>
      </w:pPr>
    </w:p>
    <w:p w14:paraId="346FF326" w14:textId="5411A492"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RE: Comments on the New Jersey Department of Human Services, Division of Medical Assistance and Health Services Section 1115 Comprehensive Waiver Renewal Application</w:t>
      </w:r>
    </w:p>
    <w:p w14:paraId="4B34E325" w14:textId="43E3655B" w:rsidR="00AF094C" w:rsidRDefault="00AF094C" w:rsidP="00673E72">
      <w:pPr>
        <w:rPr>
          <w:rFonts w:ascii="Calibri" w:eastAsia="Times New Roman" w:hAnsi="Calibri" w:cs="Calibri"/>
          <w:color w:val="000000"/>
          <w:sz w:val="22"/>
          <w:szCs w:val="22"/>
        </w:rPr>
      </w:pPr>
    </w:p>
    <w:p w14:paraId="05B4389E" w14:textId="488C5750" w:rsidR="00AF094C" w:rsidRDefault="00AF094C" w:rsidP="00673E72">
      <w:pPr>
        <w:rPr>
          <w:rFonts w:ascii="Calibri" w:eastAsia="Times New Roman" w:hAnsi="Calibri" w:cs="Calibri"/>
          <w:color w:val="000000"/>
          <w:sz w:val="22"/>
          <w:szCs w:val="22"/>
        </w:rPr>
      </w:pPr>
      <w:r>
        <w:rPr>
          <w:rFonts w:ascii="Calibri" w:eastAsia="Times New Roman" w:hAnsi="Calibri" w:cs="Calibri"/>
          <w:color w:val="000000"/>
          <w:sz w:val="22"/>
          <w:szCs w:val="22"/>
        </w:rPr>
        <w:t>The New Jersey Psychiatric Rehabilitation Association (NJPRA) appreciates this opportunity to offer comments on New Jersey’s renewal application for the Section 115 Comprehensive Waiver for your consideration:</w:t>
      </w:r>
    </w:p>
    <w:p w14:paraId="1F7FF7BD" w14:textId="38397A18" w:rsidR="00AF094C" w:rsidRDefault="00AF094C" w:rsidP="00673E72">
      <w:pPr>
        <w:rPr>
          <w:rFonts w:ascii="Calibri" w:eastAsia="Times New Roman" w:hAnsi="Calibri" w:cs="Calibri"/>
          <w:color w:val="000000"/>
          <w:sz w:val="22"/>
          <w:szCs w:val="22"/>
        </w:rPr>
      </w:pPr>
    </w:p>
    <w:p w14:paraId="100DC34A" w14:textId="52620F0A" w:rsidR="00BD0141" w:rsidRDefault="00BD0141" w:rsidP="00673E72">
      <w:pPr>
        <w:rPr>
          <w:rFonts w:ascii="Calibri" w:eastAsia="Times New Roman" w:hAnsi="Calibri" w:cs="Calibri"/>
          <w:b/>
          <w:bCs/>
          <w:color w:val="000000"/>
          <w:sz w:val="22"/>
          <w:szCs w:val="22"/>
          <w:u w:val="single"/>
        </w:rPr>
      </w:pPr>
      <w:r w:rsidRPr="000222BA">
        <w:rPr>
          <w:rFonts w:ascii="Calibri" w:eastAsia="Times New Roman" w:hAnsi="Calibri" w:cs="Calibri"/>
          <w:b/>
          <w:bCs/>
          <w:color w:val="000000"/>
          <w:sz w:val="22"/>
          <w:szCs w:val="22"/>
          <w:u w:val="single"/>
        </w:rPr>
        <w:t>Carve-In of Behavioral Health Services into Medicaid Managed Care Plans:</w:t>
      </w:r>
    </w:p>
    <w:p w14:paraId="0BDC3595" w14:textId="77777777" w:rsidR="001F69EE" w:rsidRDefault="001F69EE" w:rsidP="00673E72">
      <w:pPr>
        <w:rPr>
          <w:rFonts w:ascii="Calibri" w:eastAsia="Times New Roman" w:hAnsi="Calibri" w:cs="Calibri"/>
          <w:b/>
          <w:bCs/>
          <w:color w:val="000000"/>
          <w:sz w:val="22"/>
          <w:szCs w:val="22"/>
        </w:rPr>
      </w:pPr>
      <w:r>
        <w:rPr>
          <w:rFonts w:eastAsia="Times New Roman" w:cstheme="minorHAnsi"/>
          <w:color w:val="000000"/>
          <w:sz w:val="22"/>
          <w:szCs w:val="22"/>
        </w:rPr>
        <w:t>Our provider community is</w:t>
      </w:r>
      <w:r w:rsidRPr="00673E72">
        <w:rPr>
          <w:rFonts w:eastAsia="Times New Roman" w:cstheme="minorHAnsi"/>
          <w:color w:val="000000"/>
          <w:sz w:val="22"/>
          <w:szCs w:val="22"/>
        </w:rPr>
        <w:t xml:space="preserve"> especially concerned about ensuring that rates can sustain the services </w:t>
      </w:r>
      <w:r>
        <w:rPr>
          <w:rFonts w:eastAsia="Times New Roman" w:cstheme="minorHAnsi"/>
          <w:color w:val="000000"/>
          <w:sz w:val="22"/>
          <w:szCs w:val="22"/>
        </w:rPr>
        <w:t xml:space="preserve">in </w:t>
      </w:r>
      <w:r w:rsidRPr="00673E72">
        <w:rPr>
          <w:rFonts w:eastAsia="Times New Roman" w:cstheme="minorHAnsi"/>
          <w:color w:val="000000"/>
          <w:sz w:val="22"/>
          <w:szCs w:val="22"/>
        </w:rPr>
        <w:t>the transition to managed</w:t>
      </w:r>
      <w:r>
        <w:rPr>
          <w:rFonts w:eastAsia="Times New Roman" w:cstheme="minorHAnsi"/>
          <w:color w:val="000000"/>
          <w:sz w:val="22"/>
          <w:szCs w:val="22"/>
        </w:rPr>
        <w:t xml:space="preserve"> care.</w:t>
      </w:r>
      <w:r w:rsidRPr="001F69EE">
        <w:rPr>
          <w:rFonts w:eastAsia="Times New Roman" w:cstheme="minorHAnsi"/>
          <w:color w:val="000000"/>
          <w:sz w:val="22"/>
          <w:szCs w:val="22"/>
        </w:rPr>
        <w:t xml:space="preserve"> </w:t>
      </w:r>
      <w:r>
        <w:rPr>
          <w:rFonts w:eastAsia="Times New Roman" w:cstheme="minorHAnsi"/>
          <w:color w:val="000000"/>
          <w:sz w:val="22"/>
          <w:szCs w:val="22"/>
        </w:rPr>
        <w:t xml:space="preserve"> It is c</w:t>
      </w:r>
      <w:r w:rsidRPr="00673E72">
        <w:rPr>
          <w:rFonts w:eastAsia="Times New Roman" w:cstheme="minorHAnsi"/>
          <w:color w:val="000000"/>
          <w:sz w:val="22"/>
          <w:szCs w:val="22"/>
        </w:rPr>
        <w:t xml:space="preserve">rucial that the </w:t>
      </w:r>
      <w:r>
        <w:rPr>
          <w:rFonts w:eastAsia="Times New Roman" w:cstheme="minorHAnsi"/>
          <w:color w:val="000000"/>
          <w:sz w:val="22"/>
          <w:szCs w:val="22"/>
        </w:rPr>
        <w:t>S</w:t>
      </w:r>
      <w:r w:rsidRPr="00673E72">
        <w:rPr>
          <w:rFonts w:eastAsia="Times New Roman" w:cstheme="minorHAnsi"/>
          <w:color w:val="000000"/>
          <w:sz w:val="22"/>
          <w:szCs w:val="22"/>
        </w:rPr>
        <w:t>tate plays a</w:t>
      </w:r>
      <w:r>
        <w:rPr>
          <w:rFonts w:eastAsia="Times New Roman" w:cstheme="minorHAnsi"/>
          <w:color w:val="000000"/>
          <w:sz w:val="22"/>
          <w:szCs w:val="22"/>
        </w:rPr>
        <w:t>n active</w:t>
      </w:r>
      <w:r w:rsidRPr="00673E72">
        <w:rPr>
          <w:rFonts w:eastAsia="Times New Roman" w:cstheme="minorHAnsi"/>
          <w:color w:val="000000"/>
          <w:sz w:val="22"/>
          <w:szCs w:val="22"/>
        </w:rPr>
        <w:t xml:space="preserve"> role in ensuring this to maintain the behavioral health safety net </w:t>
      </w:r>
      <w:r>
        <w:rPr>
          <w:rFonts w:eastAsia="Times New Roman" w:cstheme="minorHAnsi"/>
          <w:color w:val="000000"/>
          <w:sz w:val="22"/>
          <w:szCs w:val="22"/>
        </w:rPr>
        <w:t>that community agencies provide 24/7 in</w:t>
      </w:r>
      <w:r w:rsidRPr="00673E72">
        <w:rPr>
          <w:rFonts w:eastAsia="Times New Roman" w:cstheme="minorHAnsi"/>
          <w:color w:val="000000"/>
          <w:sz w:val="22"/>
          <w:szCs w:val="22"/>
        </w:rPr>
        <w:t xml:space="preserve"> NJ.</w:t>
      </w:r>
      <w:r>
        <w:rPr>
          <w:rFonts w:ascii="Calibri" w:eastAsia="Times New Roman" w:hAnsi="Calibri" w:cs="Calibri"/>
          <w:b/>
          <w:bCs/>
          <w:color w:val="000000"/>
          <w:sz w:val="22"/>
          <w:szCs w:val="22"/>
        </w:rPr>
        <w:t xml:space="preserve"> </w:t>
      </w:r>
    </w:p>
    <w:p w14:paraId="1713BDD0" w14:textId="77777777" w:rsidR="001F69EE" w:rsidRDefault="001F69EE" w:rsidP="00673E72">
      <w:pPr>
        <w:rPr>
          <w:rFonts w:ascii="Calibri" w:eastAsia="Times New Roman" w:hAnsi="Calibri" w:cs="Calibri"/>
          <w:b/>
          <w:bCs/>
          <w:color w:val="000000"/>
          <w:sz w:val="22"/>
          <w:szCs w:val="22"/>
        </w:rPr>
      </w:pPr>
    </w:p>
    <w:p w14:paraId="5621D6EC" w14:textId="1A0042EA" w:rsidR="000222BA" w:rsidRPr="001F69EE" w:rsidRDefault="000222BA" w:rsidP="00673E72">
      <w:pPr>
        <w:rPr>
          <w:rFonts w:ascii="Calibri" w:eastAsia="Times New Roman" w:hAnsi="Calibri" w:cs="Calibri"/>
          <w:b/>
          <w:bCs/>
          <w:color w:val="000000"/>
          <w:sz w:val="22"/>
          <w:szCs w:val="22"/>
          <w:u w:val="single"/>
        </w:rPr>
      </w:pPr>
      <w:r>
        <w:rPr>
          <w:rFonts w:ascii="Calibri" w:eastAsia="Times New Roman" w:hAnsi="Calibri" w:cs="Calibri"/>
          <w:color w:val="000000"/>
          <w:sz w:val="22"/>
          <w:szCs w:val="22"/>
        </w:rPr>
        <w:t>As DMHAS proceeds towards the carve-in of behavioral health services that remain in contract we ask that the following actions take place in the following categories:</w:t>
      </w:r>
    </w:p>
    <w:p w14:paraId="0ED94012" w14:textId="3F7BA318" w:rsidR="00AF094C" w:rsidRDefault="00AF094C" w:rsidP="00673E72">
      <w:pPr>
        <w:rPr>
          <w:rFonts w:ascii="Calibri" w:eastAsia="Times New Roman" w:hAnsi="Calibri" w:cs="Calibri"/>
          <w:color w:val="000000"/>
          <w:sz w:val="22"/>
          <w:szCs w:val="22"/>
        </w:rPr>
      </w:pPr>
    </w:p>
    <w:p w14:paraId="0452A6D3" w14:textId="68E60232" w:rsidR="00673E72" w:rsidRDefault="00673E72" w:rsidP="00673E72">
      <w:pPr>
        <w:rPr>
          <w:rFonts w:ascii="Calibri" w:eastAsia="Times New Roman" w:hAnsi="Calibri" w:cs="Calibri"/>
          <w:color w:val="000000"/>
          <w:sz w:val="22"/>
          <w:szCs w:val="22"/>
        </w:rPr>
      </w:pPr>
      <w:r w:rsidRPr="00673E72">
        <w:rPr>
          <w:rFonts w:ascii="Calibri" w:eastAsia="Times New Roman" w:hAnsi="Calibri" w:cs="Calibri"/>
          <w:color w:val="000000"/>
          <w:sz w:val="22"/>
          <w:szCs w:val="22"/>
          <w:u w:val="single"/>
        </w:rPr>
        <w:t>Rates</w:t>
      </w:r>
      <w:r w:rsidRPr="00673E72">
        <w:rPr>
          <w:rFonts w:ascii="Calibri" w:eastAsia="Times New Roman" w:hAnsi="Calibri" w:cs="Calibri"/>
          <w:color w:val="000000"/>
          <w:sz w:val="22"/>
          <w:szCs w:val="22"/>
        </w:rPr>
        <w:t xml:space="preserve">: </w:t>
      </w:r>
      <w:r w:rsidR="000222BA">
        <w:rPr>
          <w:rFonts w:ascii="Calibri" w:eastAsia="Times New Roman" w:hAnsi="Calibri" w:cs="Calibri"/>
          <w:color w:val="000000"/>
          <w:sz w:val="22"/>
          <w:szCs w:val="22"/>
        </w:rPr>
        <w:t xml:space="preserve">The current FFS rates are generally inadequate, and many do not meet the </w:t>
      </w:r>
      <w:r w:rsidR="001F69EE">
        <w:rPr>
          <w:rFonts w:ascii="Calibri" w:eastAsia="Times New Roman" w:hAnsi="Calibri" w:cs="Calibri"/>
          <w:color w:val="000000"/>
          <w:sz w:val="22"/>
          <w:szCs w:val="22"/>
        </w:rPr>
        <w:t>cost-of-service</w:t>
      </w:r>
      <w:r w:rsidR="000222BA">
        <w:rPr>
          <w:rFonts w:ascii="Calibri" w:eastAsia="Times New Roman" w:hAnsi="Calibri" w:cs="Calibri"/>
          <w:color w:val="000000"/>
          <w:sz w:val="22"/>
          <w:szCs w:val="22"/>
        </w:rPr>
        <w:t xml:space="preserve"> delivery.  The rate study that was promised in 2017 needs to be conducted and changes made to </w:t>
      </w:r>
      <w:r w:rsidRPr="00673E72">
        <w:rPr>
          <w:rFonts w:ascii="Calibri" w:eastAsia="Times New Roman" w:hAnsi="Calibri" w:cs="Calibri"/>
          <w:color w:val="000000"/>
          <w:sz w:val="22"/>
          <w:szCs w:val="22"/>
        </w:rPr>
        <w:t xml:space="preserve">reach rate adequacy before MCO contracting </w:t>
      </w:r>
      <w:r w:rsidR="000222BA">
        <w:rPr>
          <w:rFonts w:ascii="Calibri" w:eastAsia="Times New Roman" w:hAnsi="Calibri" w:cs="Calibri"/>
          <w:color w:val="000000"/>
          <w:sz w:val="22"/>
          <w:szCs w:val="22"/>
        </w:rPr>
        <w:t>can occur.</w:t>
      </w:r>
    </w:p>
    <w:p w14:paraId="092D259F" w14:textId="30B898C3" w:rsidR="000222BA" w:rsidRDefault="000222BA" w:rsidP="00673E72">
      <w:pPr>
        <w:rPr>
          <w:rFonts w:ascii="Calibri" w:eastAsia="Times New Roman" w:hAnsi="Calibri" w:cs="Calibri"/>
          <w:color w:val="000000"/>
          <w:sz w:val="22"/>
          <w:szCs w:val="22"/>
        </w:rPr>
      </w:pPr>
      <w:r w:rsidRPr="000222BA">
        <w:rPr>
          <w:rFonts w:ascii="Calibri" w:eastAsia="Times New Roman" w:hAnsi="Calibri" w:cs="Calibri"/>
          <w:color w:val="000000"/>
          <w:sz w:val="22"/>
          <w:szCs w:val="22"/>
          <w:u w:val="single"/>
        </w:rPr>
        <w:t>MLTSS</w:t>
      </w:r>
      <w:r>
        <w:rPr>
          <w:rFonts w:ascii="Calibri" w:eastAsia="Times New Roman" w:hAnsi="Calibri" w:cs="Calibri"/>
          <w:color w:val="000000"/>
          <w:sz w:val="22"/>
          <w:szCs w:val="22"/>
        </w:rPr>
        <w:t xml:space="preserve">: Managed Long Term Support Services (MLTSS) service recipients have complained of lack of access to services, and data provided by the State has shown an underutilization of behavioral health care in the population served.  We urge you to review the data to determine if there is a sufficiently robust network of providers and access to services for those who need them. </w:t>
      </w:r>
    </w:p>
    <w:p w14:paraId="26A22526" w14:textId="6A36A0F6" w:rsidR="000222BA" w:rsidRDefault="000222BA" w:rsidP="000222BA">
      <w:pPr>
        <w:rPr>
          <w:rFonts w:ascii="Calibri" w:eastAsia="Times New Roman" w:hAnsi="Calibri" w:cs="Calibri"/>
          <w:color w:val="000000"/>
          <w:sz w:val="22"/>
          <w:szCs w:val="22"/>
        </w:rPr>
      </w:pPr>
      <w:r w:rsidRPr="00673E72">
        <w:rPr>
          <w:rFonts w:ascii="Calibri" w:eastAsia="Times New Roman" w:hAnsi="Calibri" w:cs="Calibri"/>
          <w:color w:val="000000"/>
          <w:sz w:val="22"/>
          <w:szCs w:val="22"/>
          <w:u w:val="single"/>
        </w:rPr>
        <w:t>Integrated Care</w:t>
      </w:r>
      <w:r w:rsidRPr="00673E72">
        <w:rPr>
          <w:rFonts w:ascii="Calibri" w:eastAsia="Times New Roman" w:hAnsi="Calibri" w:cs="Calibri"/>
          <w:color w:val="000000"/>
          <w:sz w:val="22"/>
          <w:szCs w:val="22"/>
        </w:rPr>
        <w:t xml:space="preserve">:  Despite years of discussion about integrating behavioral health and physical health care in NJ there has been little progress.  The waiver should include identification of measures to </w:t>
      </w:r>
      <w:r w:rsidR="001F69EE" w:rsidRPr="00673E72">
        <w:rPr>
          <w:rFonts w:ascii="Calibri" w:eastAsia="Times New Roman" w:hAnsi="Calibri" w:cs="Calibri"/>
          <w:color w:val="000000"/>
          <w:sz w:val="22"/>
          <w:szCs w:val="22"/>
        </w:rPr>
        <w:t>1) evaluate</w:t>
      </w:r>
      <w:r w:rsidRPr="00673E72">
        <w:rPr>
          <w:rFonts w:ascii="Calibri" w:eastAsia="Times New Roman" w:hAnsi="Calibri" w:cs="Calibri"/>
          <w:color w:val="000000"/>
          <w:sz w:val="22"/>
          <w:szCs w:val="22"/>
        </w:rPr>
        <w:t xml:space="preserve"> prior projects in integration to ID successful practices that can be replicated and 2)evaluate the efficacy of any new integration projects against a consistent measure</w:t>
      </w:r>
      <w:r>
        <w:rPr>
          <w:rFonts w:ascii="Calibri" w:eastAsia="Times New Roman" w:hAnsi="Calibri" w:cs="Calibri"/>
          <w:color w:val="000000"/>
          <w:sz w:val="22"/>
          <w:szCs w:val="22"/>
        </w:rPr>
        <w:t xml:space="preserve"> to better enable true integration and access to services. </w:t>
      </w:r>
    </w:p>
    <w:p w14:paraId="78DE1A45" w14:textId="5340F164" w:rsidR="000222BA" w:rsidRPr="00673E72" w:rsidRDefault="000222BA" w:rsidP="000222BA">
      <w:pPr>
        <w:rPr>
          <w:rFonts w:ascii="Calibri" w:eastAsia="Times New Roman" w:hAnsi="Calibri" w:cs="Calibri"/>
          <w:color w:val="000000"/>
          <w:sz w:val="22"/>
          <w:szCs w:val="22"/>
        </w:rPr>
      </w:pPr>
      <w:r>
        <w:rPr>
          <w:rFonts w:eastAsia="Times New Roman" w:cstheme="minorHAnsi"/>
          <w:color w:val="000000"/>
          <w:sz w:val="22"/>
          <w:szCs w:val="22"/>
        </w:rPr>
        <w:t xml:space="preserve">Provider Auto-Enrollment: </w:t>
      </w:r>
      <w:r w:rsidRPr="00673E72">
        <w:rPr>
          <w:rFonts w:eastAsia="Times New Roman" w:cstheme="minorHAnsi"/>
          <w:color w:val="000000"/>
          <w:sz w:val="22"/>
          <w:szCs w:val="22"/>
        </w:rPr>
        <w:t xml:space="preserve">Delays in onboarding </w:t>
      </w:r>
      <w:r>
        <w:rPr>
          <w:rFonts w:eastAsia="Times New Roman" w:cstheme="minorHAnsi"/>
          <w:color w:val="000000"/>
          <w:sz w:val="22"/>
          <w:szCs w:val="22"/>
        </w:rPr>
        <w:t xml:space="preserve">of provider agencies </w:t>
      </w:r>
      <w:r w:rsidRPr="00673E72">
        <w:rPr>
          <w:rFonts w:eastAsia="Times New Roman" w:cstheme="minorHAnsi"/>
          <w:color w:val="000000"/>
          <w:sz w:val="22"/>
          <w:szCs w:val="22"/>
        </w:rPr>
        <w:t xml:space="preserve">with </w:t>
      </w:r>
      <w:r>
        <w:rPr>
          <w:rFonts w:eastAsia="Times New Roman" w:cstheme="minorHAnsi"/>
          <w:color w:val="000000"/>
          <w:sz w:val="22"/>
          <w:szCs w:val="22"/>
        </w:rPr>
        <w:t>an</w:t>
      </w:r>
      <w:r w:rsidRPr="00673E72">
        <w:rPr>
          <w:rFonts w:eastAsia="Times New Roman" w:cstheme="minorHAnsi"/>
          <w:color w:val="000000"/>
          <w:sz w:val="22"/>
          <w:szCs w:val="22"/>
        </w:rPr>
        <w:t xml:space="preserve"> MCO and being required to out of network bill, paper bill, and negotiate single case agreements takes a lot of time and resources</w:t>
      </w:r>
      <w:r>
        <w:rPr>
          <w:rFonts w:eastAsia="Times New Roman" w:cstheme="minorHAnsi"/>
          <w:color w:val="000000"/>
          <w:sz w:val="22"/>
          <w:szCs w:val="22"/>
        </w:rPr>
        <w:t xml:space="preserve">, </w:t>
      </w:r>
      <w:r w:rsidRPr="00673E72">
        <w:rPr>
          <w:rFonts w:eastAsia="Times New Roman" w:cstheme="minorHAnsi"/>
          <w:color w:val="000000"/>
          <w:sz w:val="22"/>
          <w:szCs w:val="22"/>
        </w:rPr>
        <w:t>effect</w:t>
      </w:r>
      <w:r>
        <w:rPr>
          <w:rFonts w:eastAsia="Times New Roman" w:cstheme="minorHAnsi"/>
          <w:color w:val="000000"/>
          <w:sz w:val="22"/>
          <w:szCs w:val="22"/>
        </w:rPr>
        <w:t>ing limited</w:t>
      </w:r>
      <w:r w:rsidRPr="00673E72">
        <w:rPr>
          <w:rFonts w:eastAsia="Times New Roman" w:cstheme="minorHAnsi"/>
          <w:color w:val="000000"/>
          <w:sz w:val="22"/>
          <w:szCs w:val="22"/>
        </w:rPr>
        <w:t xml:space="preserve"> receivables.</w:t>
      </w:r>
      <w:r w:rsidRPr="000222BA">
        <w:rPr>
          <w:rFonts w:eastAsia="Times New Roman" w:cstheme="minorHAnsi"/>
          <w:color w:val="000000"/>
          <w:sz w:val="22"/>
          <w:szCs w:val="22"/>
        </w:rPr>
        <w:t xml:space="preserve"> </w:t>
      </w:r>
      <w:r>
        <w:rPr>
          <w:rFonts w:eastAsia="Times New Roman" w:cstheme="minorHAnsi"/>
          <w:color w:val="000000"/>
          <w:sz w:val="22"/>
          <w:szCs w:val="22"/>
        </w:rPr>
        <w:t xml:space="preserve">Consider a limited </w:t>
      </w:r>
      <w:r w:rsidRPr="00673E72">
        <w:rPr>
          <w:rFonts w:eastAsia="Times New Roman" w:cstheme="minorHAnsi"/>
          <w:color w:val="000000"/>
          <w:sz w:val="22"/>
          <w:szCs w:val="22"/>
        </w:rPr>
        <w:t>“auto enroll</w:t>
      </w:r>
      <w:r>
        <w:rPr>
          <w:rFonts w:eastAsia="Times New Roman" w:cstheme="minorHAnsi"/>
          <w:color w:val="000000"/>
          <w:sz w:val="22"/>
          <w:szCs w:val="22"/>
        </w:rPr>
        <w:t>ment</w:t>
      </w:r>
      <w:r w:rsidRPr="00673E72">
        <w:rPr>
          <w:rFonts w:eastAsia="Times New Roman" w:cstheme="minorHAnsi"/>
          <w:color w:val="000000"/>
          <w:sz w:val="22"/>
          <w:szCs w:val="22"/>
        </w:rPr>
        <w:t>”</w:t>
      </w:r>
      <w:r>
        <w:rPr>
          <w:rFonts w:eastAsia="Times New Roman" w:cstheme="minorHAnsi"/>
          <w:color w:val="000000"/>
          <w:sz w:val="22"/>
          <w:szCs w:val="22"/>
        </w:rPr>
        <w:t xml:space="preserve"> window for providers</w:t>
      </w:r>
      <w:r w:rsidRPr="00673E72">
        <w:rPr>
          <w:rFonts w:eastAsia="Times New Roman" w:cstheme="minorHAnsi"/>
          <w:color w:val="000000"/>
          <w:sz w:val="22"/>
          <w:szCs w:val="22"/>
        </w:rPr>
        <w:t xml:space="preserve"> with the MCOs </w:t>
      </w:r>
      <w:r>
        <w:rPr>
          <w:rFonts w:eastAsia="Times New Roman" w:cstheme="minorHAnsi"/>
          <w:color w:val="000000"/>
          <w:sz w:val="22"/>
          <w:szCs w:val="22"/>
        </w:rPr>
        <w:t xml:space="preserve">so they </w:t>
      </w:r>
      <w:r w:rsidR="001F69EE">
        <w:rPr>
          <w:rFonts w:eastAsia="Times New Roman" w:cstheme="minorHAnsi"/>
          <w:color w:val="000000"/>
          <w:sz w:val="22"/>
          <w:szCs w:val="22"/>
        </w:rPr>
        <w:t>can</w:t>
      </w:r>
      <w:r w:rsidRPr="00673E72">
        <w:rPr>
          <w:rFonts w:eastAsia="Times New Roman" w:cstheme="minorHAnsi"/>
          <w:color w:val="000000"/>
          <w:sz w:val="22"/>
          <w:szCs w:val="22"/>
        </w:rPr>
        <w:t xml:space="preserve"> bill electronically on the same day that </w:t>
      </w:r>
      <w:r>
        <w:rPr>
          <w:rFonts w:eastAsia="Times New Roman" w:cstheme="minorHAnsi"/>
          <w:color w:val="000000"/>
          <w:sz w:val="22"/>
          <w:szCs w:val="22"/>
        </w:rPr>
        <w:t xml:space="preserve">a covered individual </w:t>
      </w:r>
      <w:r w:rsidRPr="00673E72">
        <w:rPr>
          <w:rFonts w:eastAsia="Times New Roman" w:cstheme="minorHAnsi"/>
          <w:color w:val="000000"/>
          <w:sz w:val="22"/>
          <w:szCs w:val="22"/>
        </w:rPr>
        <w:t>is enrolled with the MCO.</w:t>
      </w:r>
      <w:r w:rsidR="001F69EE">
        <w:rPr>
          <w:rFonts w:eastAsia="Times New Roman" w:cstheme="minorHAnsi"/>
          <w:color w:val="000000"/>
          <w:sz w:val="22"/>
          <w:szCs w:val="22"/>
        </w:rPr>
        <w:t xml:space="preserve">  The combination of auto enrollment and six (6) month window to </w:t>
      </w:r>
      <w:r w:rsidRPr="00673E72">
        <w:rPr>
          <w:rFonts w:eastAsia="Times New Roman" w:cstheme="minorHAnsi"/>
          <w:color w:val="000000"/>
          <w:sz w:val="22"/>
          <w:szCs w:val="22"/>
        </w:rPr>
        <w:t xml:space="preserve">negotiate a full contract </w:t>
      </w:r>
      <w:r w:rsidR="001F69EE">
        <w:rPr>
          <w:rFonts w:eastAsia="Times New Roman" w:cstheme="minorHAnsi"/>
          <w:color w:val="000000"/>
          <w:sz w:val="22"/>
          <w:szCs w:val="22"/>
        </w:rPr>
        <w:t xml:space="preserve">would greatly support the solvency of provider agencies. </w:t>
      </w:r>
    </w:p>
    <w:p w14:paraId="34C93926" w14:textId="77777777" w:rsidR="000222BA" w:rsidRDefault="000222BA" w:rsidP="00673E72">
      <w:pPr>
        <w:rPr>
          <w:rFonts w:ascii="Calibri" w:eastAsia="Times New Roman" w:hAnsi="Calibri" w:cs="Calibri"/>
          <w:color w:val="000000"/>
          <w:sz w:val="22"/>
          <w:szCs w:val="22"/>
        </w:rPr>
      </w:pPr>
    </w:p>
    <w:p w14:paraId="7E42FC46" w14:textId="22873511" w:rsidR="000222BA" w:rsidRDefault="001F69EE" w:rsidP="00673E72">
      <w:pPr>
        <w:rPr>
          <w:rFonts w:ascii="Calibri" w:eastAsia="Times New Roman" w:hAnsi="Calibri" w:cs="Calibri"/>
          <w:b/>
          <w:bCs/>
          <w:color w:val="000000"/>
          <w:sz w:val="22"/>
          <w:szCs w:val="22"/>
          <w:u w:val="single"/>
        </w:rPr>
      </w:pPr>
      <w:r w:rsidRPr="001F69EE">
        <w:rPr>
          <w:rFonts w:ascii="Calibri" w:eastAsia="Times New Roman" w:hAnsi="Calibri" w:cs="Calibri"/>
          <w:b/>
          <w:bCs/>
          <w:color w:val="000000"/>
          <w:sz w:val="22"/>
          <w:szCs w:val="22"/>
          <w:u w:val="single"/>
        </w:rPr>
        <w:t>Housing:</w:t>
      </w:r>
    </w:p>
    <w:p w14:paraId="380B9974" w14:textId="77777777" w:rsidR="001F69EE" w:rsidRPr="001F69EE" w:rsidRDefault="001F69EE" w:rsidP="00673E72">
      <w:pPr>
        <w:rPr>
          <w:rFonts w:ascii="Calibri" w:eastAsia="Times New Roman" w:hAnsi="Calibri" w:cs="Calibri"/>
          <w:b/>
          <w:bCs/>
          <w:color w:val="000000"/>
          <w:sz w:val="22"/>
          <w:szCs w:val="22"/>
          <w:u w:val="single"/>
        </w:rPr>
      </w:pPr>
    </w:p>
    <w:p w14:paraId="71D69184" w14:textId="0C39E9FB" w:rsidR="00673E72" w:rsidRDefault="00673E72" w:rsidP="00673E72">
      <w:pPr>
        <w:rPr>
          <w:rFonts w:ascii="Calibri" w:eastAsia="Times New Roman" w:hAnsi="Calibri" w:cs="Calibri"/>
          <w:color w:val="000000"/>
          <w:sz w:val="22"/>
          <w:szCs w:val="22"/>
        </w:rPr>
      </w:pPr>
      <w:r w:rsidRPr="00673E72">
        <w:rPr>
          <w:rFonts w:ascii="Calibri" w:eastAsia="Times New Roman" w:hAnsi="Calibri" w:cs="Calibri"/>
          <w:color w:val="000000"/>
          <w:sz w:val="22"/>
          <w:szCs w:val="22"/>
          <w:u w:val="single"/>
        </w:rPr>
        <w:t>Housing</w:t>
      </w:r>
      <w:r w:rsidR="001F69EE">
        <w:rPr>
          <w:rFonts w:ascii="Calibri" w:eastAsia="Times New Roman" w:hAnsi="Calibri" w:cs="Calibri"/>
          <w:color w:val="000000"/>
          <w:sz w:val="22"/>
          <w:szCs w:val="22"/>
          <w:u w:val="single"/>
        </w:rPr>
        <w:t xml:space="preserve"> Supports</w:t>
      </w:r>
      <w:r w:rsidRPr="00673E72">
        <w:rPr>
          <w:rFonts w:ascii="Calibri" w:eastAsia="Times New Roman" w:hAnsi="Calibri" w:cs="Calibri"/>
          <w:color w:val="000000"/>
          <w:sz w:val="22"/>
          <w:szCs w:val="22"/>
        </w:rPr>
        <w:t xml:space="preserve">:  </w:t>
      </w:r>
      <w:r w:rsidR="001F69EE">
        <w:rPr>
          <w:rFonts w:ascii="Calibri" w:eastAsia="Times New Roman" w:hAnsi="Calibri" w:cs="Calibri"/>
          <w:color w:val="000000"/>
          <w:sz w:val="22"/>
          <w:szCs w:val="22"/>
        </w:rPr>
        <w:t xml:space="preserve">While the attention given in the waiver to the importance of housing supports is appreciated, those </w:t>
      </w:r>
      <w:r w:rsidRPr="00673E72">
        <w:rPr>
          <w:rFonts w:ascii="Calibri" w:eastAsia="Times New Roman" w:hAnsi="Calibri" w:cs="Calibri"/>
          <w:color w:val="000000"/>
          <w:sz w:val="22"/>
          <w:szCs w:val="22"/>
        </w:rPr>
        <w:t xml:space="preserve">supports need to be better defined and consideration of </w:t>
      </w:r>
      <w:r w:rsidR="001F69EE">
        <w:rPr>
          <w:rFonts w:ascii="Calibri" w:eastAsia="Times New Roman" w:hAnsi="Calibri" w:cs="Calibri"/>
          <w:color w:val="000000"/>
          <w:sz w:val="22"/>
          <w:szCs w:val="22"/>
        </w:rPr>
        <w:t>them</w:t>
      </w:r>
      <w:r w:rsidRPr="00673E72">
        <w:rPr>
          <w:rFonts w:ascii="Calibri" w:eastAsia="Times New Roman" w:hAnsi="Calibri" w:cs="Calibri"/>
          <w:color w:val="000000"/>
          <w:sz w:val="22"/>
          <w:szCs w:val="22"/>
        </w:rPr>
        <w:t xml:space="preserve"> being </w:t>
      </w:r>
      <w:r w:rsidR="001F69EE">
        <w:rPr>
          <w:rFonts w:ascii="Calibri" w:eastAsia="Times New Roman" w:hAnsi="Calibri" w:cs="Calibri"/>
          <w:color w:val="000000"/>
          <w:sz w:val="22"/>
          <w:szCs w:val="22"/>
        </w:rPr>
        <w:t>delivered</w:t>
      </w:r>
      <w:r w:rsidRPr="00673E72">
        <w:rPr>
          <w:rFonts w:ascii="Calibri" w:eastAsia="Times New Roman" w:hAnsi="Calibri" w:cs="Calibri"/>
          <w:color w:val="000000"/>
          <w:sz w:val="22"/>
          <w:szCs w:val="22"/>
        </w:rPr>
        <w:t xml:space="preserve"> by the contracted providers included in planning.  </w:t>
      </w:r>
      <w:r w:rsidR="001F69EE">
        <w:rPr>
          <w:rFonts w:ascii="Calibri" w:eastAsia="Times New Roman" w:hAnsi="Calibri" w:cs="Calibri"/>
          <w:color w:val="000000"/>
          <w:sz w:val="22"/>
          <w:szCs w:val="22"/>
        </w:rPr>
        <w:t>The local h</w:t>
      </w:r>
      <w:r w:rsidRPr="00673E72">
        <w:rPr>
          <w:rFonts w:ascii="Calibri" w:eastAsia="Times New Roman" w:hAnsi="Calibri" w:cs="Calibri"/>
          <w:color w:val="000000"/>
          <w:sz w:val="22"/>
          <w:szCs w:val="22"/>
        </w:rPr>
        <w:t xml:space="preserve">ousing provider staff know the </w:t>
      </w:r>
      <w:r w:rsidR="001F69EE">
        <w:rPr>
          <w:rFonts w:ascii="Calibri" w:eastAsia="Times New Roman" w:hAnsi="Calibri" w:cs="Calibri"/>
          <w:color w:val="000000"/>
          <w:sz w:val="22"/>
          <w:szCs w:val="22"/>
        </w:rPr>
        <w:t xml:space="preserve">local </w:t>
      </w:r>
      <w:r w:rsidRPr="00673E72">
        <w:rPr>
          <w:rFonts w:ascii="Calibri" w:eastAsia="Times New Roman" w:hAnsi="Calibri" w:cs="Calibri"/>
          <w:color w:val="000000"/>
          <w:sz w:val="22"/>
          <w:szCs w:val="22"/>
        </w:rPr>
        <w:t xml:space="preserve">systems best, </w:t>
      </w:r>
      <w:r w:rsidR="001F69EE">
        <w:rPr>
          <w:rFonts w:ascii="Calibri" w:eastAsia="Times New Roman" w:hAnsi="Calibri" w:cs="Calibri"/>
          <w:color w:val="000000"/>
          <w:sz w:val="22"/>
          <w:szCs w:val="22"/>
        </w:rPr>
        <w:t xml:space="preserve">has established relationships, “boots on the ground” and </w:t>
      </w:r>
      <w:r w:rsidRPr="00673E72">
        <w:rPr>
          <w:rFonts w:ascii="Calibri" w:eastAsia="Times New Roman" w:hAnsi="Calibri" w:cs="Calibri"/>
          <w:color w:val="000000"/>
          <w:sz w:val="22"/>
          <w:szCs w:val="22"/>
        </w:rPr>
        <w:t>are the best option for this role to minimize fragmentation and adding silos to the service landscape.</w:t>
      </w:r>
    </w:p>
    <w:p w14:paraId="24D1FF2D" w14:textId="273735A5" w:rsidR="001F69EE" w:rsidRDefault="001F69EE" w:rsidP="00673E72">
      <w:pPr>
        <w:rPr>
          <w:rFonts w:ascii="Calibri" w:eastAsia="Times New Roman" w:hAnsi="Calibri" w:cs="Calibri"/>
          <w:color w:val="000000"/>
          <w:sz w:val="22"/>
          <w:szCs w:val="22"/>
        </w:rPr>
      </w:pPr>
    </w:p>
    <w:p w14:paraId="0C11BBAF" w14:textId="1ADA5B93" w:rsidR="001F69EE" w:rsidRDefault="001F69EE" w:rsidP="00673E72">
      <w:pPr>
        <w:rPr>
          <w:rFonts w:ascii="Calibri" w:eastAsia="Times New Roman" w:hAnsi="Calibri" w:cs="Calibri"/>
          <w:b/>
          <w:bCs/>
          <w:color w:val="000000"/>
          <w:sz w:val="22"/>
          <w:szCs w:val="22"/>
          <w:u w:val="single"/>
        </w:rPr>
      </w:pPr>
      <w:r w:rsidRPr="001F69EE">
        <w:rPr>
          <w:rFonts w:ascii="Calibri" w:eastAsia="Times New Roman" w:hAnsi="Calibri" w:cs="Calibri"/>
          <w:b/>
          <w:bCs/>
          <w:color w:val="000000"/>
          <w:sz w:val="22"/>
          <w:szCs w:val="22"/>
          <w:u w:val="single"/>
        </w:rPr>
        <w:t>Community-Based Services:</w:t>
      </w:r>
    </w:p>
    <w:p w14:paraId="45F7C708" w14:textId="4D9B5353" w:rsidR="001F69EE" w:rsidRDefault="001F69EE" w:rsidP="00673E72">
      <w:pPr>
        <w:rPr>
          <w:rFonts w:ascii="Calibri" w:eastAsia="Times New Roman" w:hAnsi="Calibri" w:cs="Calibri"/>
          <w:b/>
          <w:bCs/>
          <w:color w:val="000000"/>
          <w:sz w:val="22"/>
          <w:szCs w:val="22"/>
          <w:u w:val="single"/>
        </w:rPr>
      </w:pPr>
    </w:p>
    <w:p w14:paraId="07C73A68" w14:textId="77777777" w:rsidR="001F69EE" w:rsidRDefault="001F69EE" w:rsidP="001F69EE">
      <w:pPr>
        <w:rPr>
          <w:rFonts w:ascii="Calibri" w:eastAsia="Times New Roman" w:hAnsi="Calibri" w:cs="Calibri"/>
          <w:color w:val="000000"/>
          <w:sz w:val="22"/>
          <w:szCs w:val="22"/>
        </w:rPr>
      </w:pPr>
      <w:r w:rsidRPr="00673E72">
        <w:rPr>
          <w:rFonts w:ascii="Calibri" w:eastAsia="Times New Roman" w:hAnsi="Calibri" w:cs="Calibri"/>
          <w:color w:val="000000"/>
          <w:sz w:val="22"/>
          <w:szCs w:val="22"/>
          <w:u w:val="single"/>
        </w:rPr>
        <w:t>Peer Providers</w:t>
      </w:r>
      <w:r w:rsidRPr="00673E72">
        <w:rPr>
          <w:rFonts w:ascii="Calibri" w:eastAsia="Times New Roman" w:hAnsi="Calibri" w:cs="Calibri"/>
          <w:color w:val="000000"/>
          <w:sz w:val="22"/>
          <w:szCs w:val="22"/>
        </w:rPr>
        <w:t>:  NJ has been working for many years to grow its peer workforce.  While</w:t>
      </w:r>
      <w:r>
        <w:rPr>
          <w:rFonts w:ascii="Calibri" w:eastAsia="Times New Roman" w:hAnsi="Calibri" w:cs="Calibri"/>
          <w:color w:val="000000"/>
          <w:sz w:val="22"/>
          <w:szCs w:val="22"/>
        </w:rPr>
        <w:t xml:space="preserve"> a percentage of peer providers possess </w:t>
      </w:r>
      <w:r w:rsidRPr="00673E72">
        <w:rPr>
          <w:rFonts w:ascii="Calibri" w:eastAsia="Times New Roman" w:hAnsi="Calibri" w:cs="Calibri"/>
          <w:color w:val="000000"/>
          <w:sz w:val="22"/>
          <w:szCs w:val="22"/>
        </w:rPr>
        <w:t xml:space="preserve">peer certification credentials, many do not have them because of the cost to obtain them.  Advocacy groups across the State are making efforts to find ways to alleviate costs.  </w:t>
      </w:r>
    </w:p>
    <w:p w14:paraId="3CDB0D4A" w14:textId="03D1C8AD" w:rsidR="001F69EE" w:rsidRPr="00673E72" w:rsidRDefault="001F69EE" w:rsidP="001F69EE">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At this time, </w:t>
      </w:r>
      <w:r w:rsidRPr="00673E72">
        <w:rPr>
          <w:rFonts w:ascii="Calibri" w:eastAsia="Times New Roman" w:hAnsi="Calibri" w:cs="Calibri"/>
          <w:color w:val="000000"/>
          <w:sz w:val="22"/>
          <w:szCs w:val="22"/>
        </w:rPr>
        <w:t>It is our recommendation that a grandfathering period be utilized for peers who are not certified at the inception of managed care contracts to enable the workforce time to obtain certification.  Additionally, there should also be a place in the system for the services of non-certified peers to be reimbursed. </w:t>
      </w:r>
    </w:p>
    <w:p w14:paraId="5AD873B0" w14:textId="77777777" w:rsidR="001F69EE" w:rsidRPr="001F69EE" w:rsidRDefault="001F69EE" w:rsidP="00673E72">
      <w:pPr>
        <w:rPr>
          <w:rFonts w:ascii="Calibri" w:eastAsia="Times New Roman" w:hAnsi="Calibri" w:cs="Calibri"/>
          <w:b/>
          <w:bCs/>
          <w:color w:val="000000"/>
          <w:sz w:val="22"/>
          <w:szCs w:val="22"/>
          <w:u w:val="single"/>
        </w:rPr>
      </w:pPr>
    </w:p>
    <w:p w14:paraId="1B9807B8" w14:textId="77777777" w:rsidR="001F69EE" w:rsidRPr="00673E72" w:rsidRDefault="001F69EE" w:rsidP="00673E72">
      <w:pPr>
        <w:rPr>
          <w:rFonts w:ascii="Calibri" w:eastAsia="Times New Roman" w:hAnsi="Calibri" w:cs="Calibri"/>
          <w:color w:val="000000"/>
          <w:sz w:val="22"/>
          <w:szCs w:val="22"/>
        </w:rPr>
      </w:pPr>
    </w:p>
    <w:p w14:paraId="4F995CE1" w14:textId="0A58B051" w:rsidR="00673E72" w:rsidRDefault="00673E72" w:rsidP="00673E72">
      <w:pPr>
        <w:rPr>
          <w:rFonts w:ascii="Calibri" w:eastAsia="Times New Roman" w:hAnsi="Calibri" w:cs="Calibri"/>
          <w:color w:val="000000"/>
          <w:sz w:val="22"/>
          <w:szCs w:val="22"/>
        </w:rPr>
      </w:pPr>
      <w:r w:rsidRPr="00673E72">
        <w:rPr>
          <w:rFonts w:ascii="Calibri" w:eastAsia="Times New Roman" w:hAnsi="Calibri" w:cs="Calibri"/>
          <w:color w:val="000000"/>
          <w:sz w:val="22"/>
          <w:szCs w:val="22"/>
          <w:u w:val="single"/>
        </w:rPr>
        <w:t xml:space="preserve">Community </w:t>
      </w:r>
      <w:r w:rsidR="00005F4A">
        <w:rPr>
          <w:rFonts w:ascii="Calibri" w:eastAsia="Times New Roman" w:hAnsi="Calibri" w:cs="Calibri"/>
          <w:color w:val="000000"/>
          <w:sz w:val="22"/>
          <w:szCs w:val="22"/>
          <w:u w:val="single"/>
        </w:rPr>
        <w:t>Based Supports</w:t>
      </w:r>
      <w:r w:rsidRPr="00673E72">
        <w:rPr>
          <w:rFonts w:ascii="Calibri" w:eastAsia="Times New Roman" w:hAnsi="Calibri" w:cs="Calibri"/>
          <w:color w:val="000000"/>
          <w:sz w:val="22"/>
          <w:szCs w:val="22"/>
        </w:rPr>
        <w:t xml:space="preserve">: Community support providers are skilled in service delivery and meeting the needs of their service recipients through flexible and creative measures.  This flexibility includes compensation via case rate, not </w:t>
      </w:r>
      <w:r w:rsidR="00005F4A" w:rsidRPr="00673E72">
        <w:rPr>
          <w:rFonts w:ascii="Calibri" w:eastAsia="Times New Roman" w:hAnsi="Calibri" w:cs="Calibri"/>
          <w:color w:val="000000"/>
          <w:sz w:val="22"/>
          <w:szCs w:val="22"/>
        </w:rPr>
        <w:t>15-minute</w:t>
      </w:r>
      <w:r w:rsidRPr="00673E72">
        <w:rPr>
          <w:rFonts w:ascii="Calibri" w:eastAsia="Times New Roman" w:hAnsi="Calibri" w:cs="Calibri"/>
          <w:color w:val="000000"/>
          <w:sz w:val="22"/>
          <w:szCs w:val="22"/>
        </w:rPr>
        <w:t xml:space="preserve"> increments of service.</w:t>
      </w:r>
      <w:r w:rsidR="001F69EE">
        <w:rPr>
          <w:rFonts w:ascii="Calibri" w:eastAsia="Times New Roman" w:hAnsi="Calibri" w:cs="Calibri"/>
          <w:color w:val="000000"/>
          <w:sz w:val="22"/>
          <w:szCs w:val="22"/>
        </w:rPr>
        <w:t xml:space="preserve">  We recommend that </w:t>
      </w:r>
      <w:r w:rsidR="00005F4A">
        <w:rPr>
          <w:rFonts w:ascii="Calibri" w:eastAsia="Times New Roman" w:hAnsi="Calibri" w:cs="Calibri"/>
          <w:color w:val="000000"/>
          <w:sz w:val="22"/>
          <w:szCs w:val="22"/>
        </w:rPr>
        <w:t>services such as Community Support Services (CSS), Targeted Case Management (TCM) and Integrated Case Management (ICMS) be reimbursed via case rates, as has been the practice in Programs in Assertive Community Treatment (PACT).</w:t>
      </w:r>
    </w:p>
    <w:p w14:paraId="0770C734" w14:textId="0C96DD13" w:rsidR="00005F4A" w:rsidRDefault="00005F4A" w:rsidP="00673E72">
      <w:pPr>
        <w:rPr>
          <w:rFonts w:ascii="Calibri" w:eastAsia="Times New Roman" w:hAnsi="Calibri" w:cs="Calibri"/>
          <w:color w:val="000000"/>
          <w:sz w:val="22"/>
          <w:szCs w:val="22"/>
        </w:rPr>
      </w:pPr>
    </w:p>
    <w:p w14:paraId="12ABEAD0" w14:textId="71E73497" w:rsidR="00005F4A" w:rsidRPr="00005F4A" w:rsidRDefault="00005F4A" w:rsidP="00673E72">
      <w:pPr>
        <w:rPr>
          <w:rFonts w:ascii="Calibri" w:eastAsia="Times New Roman" w:hAnsi="Calibri" w:cs="Calibri"/>
          <w:color w:val="000000" w:themeColor="text1"/>
          <w:sz w:val="22"/>
          <w:szCs w:val="22"/>
        </w:rPr>
      </w:pPr>
      <w:r w:rsidRPr="00005F4A">
        <w:rPr>
          <w:rFonts w:ascii="Calibri" w:eastAsia="Times New Roman" w:hAnsi="Calibri" w:cs="Calibri"/>
          <w:color w:val="000000"/>
          <w:sz w:val="22"/>
          <w:szCs w:val="22"/>
          <w:u w:val="single"/>
        </w:rPr>
        <w:t xml:space="preserve">Expanded use of Advanced Practice Nurses: </w:t>
      </w:r>
      <w:r>
        <w:rPr>
          <w:rFonts w:ascii="Calibri" w:eastAsia="Times New Roman" w:hAnsi="Calibri" w:cs="Calibri"/>
          <w:color w:val="000000"/>
          <w:sz w:val="22"/>
          <w:szCs w:val="22"/>
        </w:rPr>
        <w:t xml:space="preserve">The shortage of psychiatrists in NJ if felt acutely across the community-based service system.  We strongly recommend that </w:t>
      </w:r>
      <w:r w:rsidRPr="00005F4A">
        <w:rPr>
          <w:rFonts w:eastAsia="Times New Roman" w:cstheme="minorHAnsi"/>
          <w:color w:val="000000" w:themeColor="text1"/>
          <w:sz w:val="22"/>
          <w:szCs w:val="22"/>
        </w:rPr>
        <w:t>Psychiatric Advanced Practice Nurses (APN’s) be permitted to work in modalities where a prescriber is required</w:t>
      </w:r>
      <w:r>
        <w:rPr>
          <w:rFonts w:eastAsia="Times New Roman" w:cstheme="minorHAnsi"/>
          <w:color w:val="000000" w:themeColor="text1"/>
          <w:sz w:val="22"/>
          <w:szCs w:val="22"/>
        </w:rPr>
        <w:t xml:space="preserve"> (e.g. </w:t>
      </w:r>
      <w:r w:rsidRPr="00005F4A">
        <w:rPr>
          <w:rFonts w:eastAsia="Times New Roman" w:cstheme="minorHAnsi"/>
          <w:color w:val="000000" w:themeColor="text1"/>
          <w:sz w:val="22"/>
          <w:szCs w:val="22"/>
        </w:rPr>
        <w:t>PACT</w:t>
      </w:r>
      <w:r>
        <w:rPr>
          <w:rFonts w:eastAsia="Times New Roman" w:cstheme="minorHAnsi"/>
          <w:color w:val="000000" w:themeColor="text1"/>
          <w:sz w:val="22"/>
          <w:szCs w:val="22"/>
        </w:rPr>
        <w:t>)</w:t>
      </w:r>
    </w:p>
    <w:p w14:paraId="2E5ECE41" w14:textId="77777777" w:rsidR="001F69EE" w:rsidRPr="00673E72" w:rsidRDefault="001F69EE" w:rsidP="00673E72">
      <w:pPr>
        <w:rPr>
          <w:rFonts w:ascii="Calibri" w:eastAsia="Times New Roman" w:hAnsi="Calibri" w:cs="Calibri"/>
          <w:color w:val="000000"/>
          <w:sz w:val="22"/>
          <w:szCs w:val="22"/>
        </w:rPr>
      </w:pPr>
    </w:p>
    <w:p w14:paraId="68EE0F17" w14:textId="0542D469" w:rsidR="00673E72" w:rsidRPr="00703D98" w:rsidRDefault="00673E72" w:rsidP="00673E72">
      <w:pPr>
        <w:rPr>
          <w:rFonts w:ascii="Calibri" w:eastAsia="Times New Roman" w:hAnsi="Calibri" w:cs="Calibri"/>
          <w:color w:val="000000" w:themeColor="text1"/>
          <w:sz w:val="22"/>
          <w:szCs w:val="22"/>
        </w:rPr>
      </w:pPr>
      <w:r w:rsidRPr="00673E72">
        <w:rPr>
          <w:rFonts w:ascii="Calibri" w:eastAsia="Times New Roman" w:hAnsi="Calibri" w:cs="Calibri"/>
          <w:color w:val="000000"/>
          <w:sz w:val="22"/>
          <w:szCs w:val="22"/>
          <w:u w:val="single"/>
        </w:rPr>
        <w:t xml:space="preserve">Crisis, </w:t>
      </w:r>
      <w:r w:rsidR="00703D98" w:rsidRPr="00673E72">
        <w:rPr>
          <w:rFonts w:ascii="Calibri" w:eastAsia="Times New Roman" w:hAnsi="Calibri" w:cs="Calibri"/>
          <w:color w:val="000000"/>
          <w:sz w:val="22"/>
          <w:szCs w:val="22"/>
          <w:u w:val="single"/>
        </w:rPr>
        <w:t>Respite,</w:t>
      </w:r>
      <w:r w:rsidRPr="00673E72">
        <w:rPr>
          <w:rFonts w:ascii="Calibri" w:eastAsia="Times New Roman" w:hAnsi="Calibri" w:cs="Calibri"/>
          <w:color w:val="000000"/>
          <w:sz w:val="22"/>
          <w:szCs w:val="22"/>
          <w:u w:val="single"/>
        </w:rPr>
        <w:t xml:space="preserve"> and other Emergency Services</w:t>
      </w:r>
      <w:r w:rsidRPr="00673E72">
        <w:rPr>
          <w:rFonts w:ascii="Calibri" w:eastAsia="Times New Roman" w:hAnsi="Calibri" w:cs="Calibri"/>
          <w:color w:val="000000"/>
          <w:sz w:val="22"/>
          <w:szCs w:val="22"/>
        </w:rPr>
        <w:t xml:space="preserve">: Continuing disconnects between mental health, substance use and criminal justice entities has perpetuated the fragmentation of our crisis, screening, respite and other emergency services. With the National 988 implementation, there are opportunities to include services in the 1115 Demonstration that can deliver a better connected, coordinated, </w:t>
      </w:r>
      <w:r w:rsidR="00005F4A" w:rsidRPr="00673E72">
        <w:rPr>
          <w:rFonts w:ascii="Calibri" w:eastAsia="Times New Roman" w:hAnsi="Calibri" w:cs="Calibri"/>
          <w:color w:val="000000"/>
          <w:sz w:val="22"/>
          <w:szCs w:val="22"/>
        </w:rPr>
        <w:t>individualized,</w:t>
      </w:r>
      <w:r w:rsidRPr="00673E72">
        <w:rPr>
          <w:rFonts w:ascii="Calibri" w:eastAsia="Times New Roman" w:hAnsi="Calibri" w:cs="Calibri"/>
          <w:color w:val="000000"/>
          <w:sz w:val="22"/>
          <w:szCs w:val="22"/>
        </w:rPr>
        <w:t xml:space="preserve"> and tailored emergency response system for person with behavioral health illnesses.  These include </w:t>
      </w:r>
      <w:r w:rsidR="00703D98" w:rsidRPr="00673E72">
        <w:rPr>
          <w:rFonts w:ascii="Calibri" w:eastAsia="Times New Roman" w:hAnsi="Calibri" w:cs="Calibri"/>
          <w:color w:val="000000"/>
          <w:sz w:val="22"/>
          <w:szCs w:val="22"/>
        </w:rPr>
        <w:t>truer</w:t>
      </w:r>
      <w:r w:rsidRPr="00673E72">
        <w:rPr>
          <w:rFonts w:ascii="Calibri" w:eastAsia="Times New Roman" w:hAnsi="Calibri" w:cs="Calibri"/>
          <w:color w:val="000000"/>
          <w:sz w:val="22"/>
          <w:szCs w:val="22"/>
        </w:rPr>
        <w:t xml:space="preserve"> mobile outreach, access to respite facilities across the State, living room model screening and stabilization settings, reimbursed inclusion </w:t>
      </w:r>
      <w:r w:rsidR="00005F4A" w:rsidRPr="00673E72">
        <w:rPr>
          <w:rFonts w:ascii="Calibri" w:eastAsia="Times New Roman" w:hAnsi="Calibri" w:cs="Calibri"/>
          <w:color w:val="000000"/>
          <w:sz w:val="22"/>
          <w:szCs w:val="22"/>
        </w:rPr>
        <w:t>of peer</w:t>
      </w:r>
      <w:r w:rsidRPr="00673E72">
        <w:rPr>
          <w:rFonts w:ascii="Calibri" w:eastAsia="Times New Roman" w:hAnsi="Calibri" w:cs="Calibri"/>
          <w:color w:val="000000"/>
          <w:sz w:val="22"/>
          <w:szCs w:val="22"/>
        </w:rPr>
        <w:t xml:space="preserve"> providers</w:t>
      </w:r>
      <w:r w:rsidR="00005F4A">
        <w:rPr>
          <w:rFonts w:ascii="Calibri" w:eastAsia="Times New Roman" w:hAnsi="Calibri" w:cs="Calibri"/>
          <w:color w:val="000000"/>
          <w:sz w:val="22"/>
          <w:szCs w:val="22"/>
        </w:rPr>
        <w:t>,</w:t>
      </w:r>
      <w:r w:rsidRPr="00673E72">
        <w:rPr>
          <w:rFonts w:ascii="Calibri" w:eastAsia="Times New Roman" w:hAnsi="Calibri" w:cs="Calibri"/>
          <w:color w:val="000000"/>
          <w:sz w:val="22"/>
          <w:szCs w:val="22"/>
        </w:rPr>
        <w:t xml:space="preserve"> </w:t>
      </w:r>
      <w:r w:rsidR="00005F4A">
        <w:rPr>
          <w:rFonts w:ascii="Calibri" w:eastAsia="Times New Roman" w:hAnsi="Calibri" w:cs="Calibri"/>
          <w:color w:val="000000"/>
          <w:sz w:val="22"/>
          <w:szCs w:val="22"/>
        </w:rPr>
        <w:t>“</w:t>
      </w:r>
      <w:r w:rsidRPr="00673E72">
        <w:rPr>
          <w:rFonts w:ascii="Calibri" w:eastAsia="Times New Roman" w:hAnsi="Calibri" w:cs="Calibri"/>
          <w:color w:val="000000"/>
          <w:sz w:val="22"/>
          <w:szCs w:val="22"/>
        </w:rPr>
        <w:t>warm hand-offs</w:t>
      </w:r>
      <w:r w:rsidR="00005F4A">
        <w:rPr>
          <w:rFonts w:ascii="Calibri" w:eastAsia="Times New Roman" w:hAnsi="Calibri" w:cs="Calibri"/>
          <w:color w:val="000000"/>
          <w:sz w:val="22"/>
          <w:szCs w:val="22"/>
        </w:rPr>
        <w:t>”</w:t>
      </w:r>
      <w:r w:rsidRPr="00673E72">
        <w:rPr>
          <w:rFonts w:ascii="Calibri" w:eastAsia="Times New Roman" w:hAnsi="Calibri" w:cs="Calibri"/>
          <w:color w:val="000000"/>
          <w:sz w:val="22"/>
          <w:szCs w:val="22"/>
        </w:rPr>
        <w:t xml:space="preserve"> across the service system</w:t>
      </w:r>
      <w:r w:rsidR="00005F4A">
        <w:rPr>
          <w:rFonts w:ascii="Calibri" w:eastAsia="Times New Roman" w:hAnsi="Calibri" w:cs="Calibri"/>
          <w:color w:val="000000"/>
          <w:sz w:val="22"/>
          <w:szCs w:val="22"/>
        </w:rPr>
        <w:t xml:space="preserve">, less dependence on hospital emergency rooms to warehouse people in crisis, less dependence on police response to all crisis calls, Medicaid reimbursement and commercial reimbursement for crisis services.  We refer you to the SAMHS </w:t>
      </w:r>
      <w:r w:rsidRPr="00005F4A">
        <w:rPr>
          <w:rFonts w:eastAsia="Times New Roman" w:cstheme="minorHAnsi"/>
          <w:color w:val="000000" w:themeColor="text1"/>
          <w:sz w:val="22"/>
          <w:szCs w:val="22"/>
        </w:rPr>
        <w:t>SAMHSA Crisis System Toolkit</w:t>
      </w:r>
      <w:r w:rsidR="00005F4A" w:rsidRPr="00005F4A">
        <w:rPr>
          <w:rFonts w:eastAsia="Times New Roman" w:cstheme="minorHAnsi"/>
          <w:color w:val="000000" w:themeColor="text1"/>
          <w:sz w:val="22"/>
          <w:szCs w:val="22"/>
        </w:rPr>
        <w:t xml:space="preserve"> for the full recommendations.</w:t>
      </w:r>
    </w:p>
    <w:p w14:paraId="7FAE5BAB" w14:textId="77777777" w:rsidR="00673E72" w:rsidRPr="00673E72" w:rsidRDefault="00673E72" w:rsidP="00673E72">
      <w:pPr>
        <w:rPr>
          <w:rFonts w:ascii="Calibri" w:eastAsia="Times New Roman" w:hAnsi="Calibri" w:cs="Calibri"/>
          <w:color w:val="000000"/>
          <w:sz w:val="22"/>
          <w:szCs w:val="22"/>
        </w:rPr>
      </w:pPr>
      <w:r w:rsidRPr="00673E72">
        <w:rPr>
          <w:rFonts w:ascii="Arial" w:eastAsia="Times New Roman" w:hAnsi="Arial" w:cs="Arial"/>
          <w:color w:val="000000"/>
          <w:sz w:val="20"/>
          <w:szCs w:val="20"/>
        </w:rPr>
        <w:lastRenderedPageBreak/>
        <w:t> </w:t>
      </w:r>
    </w:p>
    <w:p w14:paraId="78C29D0C" w14:textId="7098AB3E" w:rsidR="00005F4A" w:rsidRPr="00673E72" w:rsidRDefault="00005F4A" w:rsidP="00005F4A">
      <w:pPr>
        <w:rPr>
          <w:rFonts w:cstheme="minorHAnsi"/>
          <w:sz w:val="22"/>
          <w:szCs w:val="22"/>
        </w:rPr>
      </w:pPr>
      <w:r w:rsidRPr="00703D98">
        <w:rPr>
          <w:rFonts w:cstheme="minorHAnsi"/>
          <w:sz w:val="22"/>
          <w:szCs w:val="22"/>
          <w:u w:val="single"/>
        </w:rPr>
        <w:t>Certified Community Behavioral Health Clinic</w:t>
      </w:r>
      <w:r w:rsidRPr="00673E72">
        <w:rPr>
          <w:rFonts w:cstheme="minorHAnsi"/>
          <w:sz w:val="22"/>
          <w:szCs w:val="22"/>
        </w:rPr>
        <w:t xml:space="preserve">: </w:t>
      </w:r>
      <w:r>
        <w:rPr>
          <w:rFonts w:cstheme="minorHAnsi"/>
          <w:sz w:val="22"/>
          <w:szCs w:val="22"/>
        </w:rPr>
        <w:t xml:space="preserve">NJPRA is pleased to see CCBHC </w:t>
      </w:r>
      <w:r w:rsidR="00703D98">
        <w:rPr>
          <w:rFonts w:cstheme="minorHAnsi"/>
          <w:sz w:val="22"/>
          <w:szCs w:val="22"/>
        </w:rPr>
        <w:t>i</w:t>
      </w:r>
      <w:r w:rsidRPr="00673E72">
        <w:rPr>
          <w:rFonts w:cstheme="minorHAnsi"/>
          <w:sz w:val="22"/>
          <w:szCs w:val="22"/>
        </w:rPr>
        <w:t xml:space="preserve">nclude it in the waiver. </w:t>
      </w:r>
      <w:r w:rsidR="00703D98">
        <w:rPr>
          <w:rFonts w:cstheme="minorHAnsi"/>
          <w:sz w:val="22"/>
          <w:szCs w:val="22"/>
        </w:rPr>
        <w:t xml:space="preserve"> We strongly caution the establishment of a single state-wide rate for this service, as geographic factors, and operational needs impact costs. </w:t>
      </w:r>
    </w:p>
    <w:p w14:paraId="2DCB5A1A" w14:textId="2A70E1C3" w:rsidR="00673E72" w:rsidRDefault="00673E72"/>
    <w:p w14:paraId="4791AF3C" w14:textId="6D074E1D" w:rsidR="00703D98" w:rsidRDefault="00703D98">
      <w:pPr>
        <w:rPr>
          <w:sz w:val="22"/>
          <w:szCs w:val="22"/>
        </w:rPr>
      </w:pPr>
      <w:r w:rsidRPr="00703D98">
        <w:rPr>
          <w:sz w:val="22"/>
          <w:szCs w:val="22"/>
        </w:rPr>
        <w:t>In closing, we thank you for your review and consideration of our comments.  On behalf of our member agencies, practitioners, and service recipients we look forward to continued growth, integration, and enhanced quality of our service system in NJ.</w:t>
      </w:r>
      <w:r w:rsidR="001E65C5">
        <w:rPr>
          <w:sz w:val="22"/>
          <w:szCs w:val="22"/>
        </w:rPr>
        <w:t xml:space="preserve">  </w:t>
      </w:r>
    </w:p>
    <w:p w14:paraId="5B8F296E" w14:textId="1E3558C6" w:rsidR="001E65C5" w:rsidRDefault="001E65C5">
      <w:pPr>
        <w:rPr>
          <w:sz w:val="22"/>
          <w:szCs w:val="22"/>
        </w:rPr>
      </w:pPr>
    </w:p>
    <w:p w14:paraId="4EEBC8BB" w14:textId="1DE40150" w:rsidR="001E65C5" w:rsidRDefault="001E65C5">
      <w:pPr>
        <w:rPr>
          <w:sz w:val="22"/>
          <w:szCs w:val="22"/>
        </w:rPr>
      </w:pPr>
      <w:r>
        <w:rPr>
          <w:sz w:val="22"/>
          <w:szCs w:val="22"/>
        </w:rPr>
        <w:t>Kind Regards,</w:t>
      </w:r>
    </w:p>
    <w:p w14:paraId="34D29AAB" w14:textId="457E6B37" w:rsidR="001E65C5" w:rsidRPr="001E65C5" w:rsidRDefault="001E65C5">
      <w:pPr>
        <w:rPr>
          <w:rFonts w:ascii="Lucida Calligraphy" w:hAnsi="Lucida Calligraphy"/>
          <w:sz w:val="22"/>
          <w:szCs w:val="22"/>
        </w:rPr>
      </w:pPr>
      <w:r w:rsidRPr="001E65C5">
        <w:rPr>
          <w:rFonts w:ascii="Lucida Calligraphy" w:hAnsi="Lucida Calligraphy"/>
          <w:sz w:val="22"/>
          <w:szCs w:val="22"/>
        </w:rPr>
        <w:t xml:space="preserve">Kimberley Higgs </w:t>
      </w:r>
    </w:p>
    <w:p w14:paraId="76A7AD2D" w14:textId="0FD08583" w:rsidR="001E65C5" w:rsidRDefault="001E65C5">
      <w:pPr>
        <w:rPr>
          <w:sz w:val="22"/>
          <w:szCs w:val="22"/>
        </w:rPr>
      </w:pPr>
      <w:r>
        <w:rPr>
          <w:sz w:val="22"/>
          <w:szCs w:val="22"/>
        </w:rPr>
        <w:t>Kimberley Higgs, LCSW</w:t>
      </w:r>
    </w:p>
    <w:p w14:paraId="4D9EB0DB" w14:textId="52CB6466" w:rsidR="001E65C5" w:rsidRDefault="001E65C5">
      <w:pPr>
        <w:rPr>
          <w:sz w:val="22"/>
          <w:szCs w:val="22"/>
        </w:rPr>
      </w:pPr>
      <w:r>
        <w:rPr>
          <w:sz w:val="22"/>
          <w:szCs w:val="22"/>
        </w:rPr>
        <w:t>Executive Director</w:t>
      </w:r>
    </w:p>
    <w:p w14:paraId="5FD77FBC" w14:textId="4F1315DB" w:rsidR="001E65C5" w:rsidRDefault="001E65C5">
      <w:pPr>
        <w:rPr>
          <w:sz w:val="22"/>
          <w:szCs w:val="22"/>
        </w:rPr>
      </w:pPr>
      <w:r>
        <w:rPr>
          <w:sz w:val="22"/>
          <w:szCs w:val="22"/>
        </w:rPr>
        <w:t>NJPRA</w:t>
      </w:r>
    </w:p>
    <w:p w14:paraId="2A3A4A73" w14:textId="1946FA17" w:rsidR="001E65C5" w:rsidRDefault="001E65C5">
      <w:pPr>
        <w:rPr>
          <w:sz w:val="22"/>
          <w:szCs w:val="22"/>
        </w:rPr>
      </w:pPr>
    </w:p>
    <w:p w14:paraId="52F515CD" w14:textId="50725B13" w:rsidR="001E65C5" w:rsidRDefault="001E65C5">
      <w:pPr>
        <w:rPr>
          <w:sz w:val="22"/>
          <w:szCs w:val="22"/>
        </w:rPr>
      </w:pPr>
      <w:r>
        <w:rPr>
          <w:sz w:val="22"/>
          <w:szCs w:val="22"/>
        </w:rPr>
        <w:t xml:space="preserve">Contact:  </w:t>
      </w:r>
      <w:hyperlink r:id="rId7" w:history="1">
        <w:r w:rsidRPr="00D74876">
          <w:rPr>
            <w:rStyle w:val="Hyperlink"/>
            <w:rFonts w:cstheme="minorBidi"/>
            <w:sz w:val="22"/>
            <w:szCs w:val="22"/>
          </w:rPr>
          <w:t>khiggs@njpra.org</w:t>
        </w:r>
      </w:hyperlink>
      <w:r>
        <w:rPr>
          <w:sz w:val="22"/>
          <w:szCs w:val="22"/>
        </w:rPr>
        <w:t xml:space="preserve"> </w:t>
      </w:r>
    </w:p>
    <w:p w14:paraId="4E1CCB7B" w14:textId="07284BC2" w:rsidR="001E65C5" w:rsidRPr="00703D98" w:rsidRDefault="001E65C5">
      <w:pPr>
        <w:rPr>
          <w:sz w:val="22"/>
          <w:szCs w:val="22"/>
        </w:rPr>
      </w:pPr>
      <w:r>
        <w:rPr>
          <w:sz w:val="22"/>
          <w:szCs w:val="22"/>
        </w:rPr>
        <w:t>Phone:    908-612-1287</w:t>
      </w:r>
    </w:p>
    <w:sectPr w:rsidR="001E65C5" w:rsidRPr="00703D98" w:rsidSect="00214C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9124" w14:textId="77777777" w:rsidR="00F94809" w:rsidRDefault="00F94809" w:rsidP="00703D98">
      <w:r>
        <w:separator/>
      </w:r>
    </w:p>
  </w:endnote>
  <w:endnote w:type="continuationSeparator" w:id="0">
    <w:p w14:paraId="750F2184" w14:textId="77777777" w:rsidR="00F94809" w:rsidRDefault="00F94809" w:rsidP="0070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20B0604020202020204"/>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2416" w14:textId="77777777" w:rsidR="00703D98" w:rsidRPr="00401941" w:rsidRDefault="00703D98" w:rsidP="00703D98">
    <w:pPr>
      <w:pStyle w:val="Footer"/>
      <w:jc w:val="center"/>
      <w:rPr>
        <w:i/>
        <w:sz w:val="20"/>
        <w:szCs w:val="20"/>
      </w:rPr>
    </w:pPr>
    <w:r w:rsidRPr="00401941">
      <w:rPr>
        <w:i/>
        <w:sz w:val="20"/>
        <w:szCs w:val="20"/>
      </w:rPr>
      <w:t>Serving the Practice and Practitioners of Psychiatric Rehabilitation Since 1980</w:t>
    </w:r>
  </w:p>
  <w:p w14:paraId="4A4266DD" w14:textId="77777777" w:rsidR="00703D98" w:rsidRPr="00D3002A" w:rsidRDefault="00703D98" w:rsidP="00703D98">
    <w:pPr>
      <w:pStyle w:val="Footer"/>
      <w:jc w:val="center"/>
      <w:rPr>
        <w:sz w:val="16"/>
        <w:szCs w:val="16"/>
      </w:rPr>
    </w:pPr>
    <w:r w:rsidRPr="00D3002A">
      <w:rPr>
        <w:sz w:val="16"/>
        <w:szCs w:val="16"/>
      </w:rPr>
      <w:t xml:space="preserve">NJPRA | 1385 Hwy. 35 Suite 259 Middletown, NJ | Phone: 732-646-5772 | </w:t>
    </w:r>
    <w:hyperlink r:id="rId1" w:history="1">
      <w:r w:rsidRPr="00D3002A">
        <w:rPr>
          <w:rStyle w:val="Hyperlink"/>
          <w:sz w:val="16"/>
          <w:szCs w:val="16"/>
        </w:rPr>
        <w:t>www.njpra.org</w:t>
      </w:r>
    </w:hyperlink>
    <w:r w:rsidRPr="00D3002A">
      <w:rPr>
        <w:sz w:val="16"/>
        <w:szCs w:val="16"/>
      </w:rPr>
      <w:t xml:space="preserve"> | Twitter-@NJPsychRehab | FB-@NJPRA</w:t>
    </w:r>
  </w:p>
  <w:p w14:paraId="70710453" w14:textId="77777777" w:rsidR="00703D98" w:rsidRDefault="00703D98" w:rsidP="00703D98">
    <w:pPr>
      <w:pStyle w:val="Footer"/>
    </w:pPr>
  </w:p>
  <w:p w14:paraId="42519560" w14:textId="77777777" w:rsidR="00703D98" w:rsidRDefault="0070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D64B9" w14:textId="77777777" w:rsidR="00F94809" w:rsidRDefault="00F94809" w:rsidP="00703D98">
      <w:r>
        <w:separator/>
      </w:r>
    </w:p>
  </w:footnote>
  <w:footnote w:type="continuationSeparator" w:id="0">
    <w:p w14:paraId="2A717EBE" w14:textId="77777777" w:rsidR="00F94809" w:rsidRDefault="00F94809" w:rsidP="0070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20A9" w14:textId="77777777" w:rsidR="00703D98" w:rsidRDefault="00703D98" w:rsidP="00703D98">
    <w:pPr>
      <w:tabs>
        <w:tab w:val="center" w:pos="5112"/>
        <w:tab w:val="right" w:pos="10224"/>
      </w:tabs>
      <w:rPr>
        <w:b/>
        <w:u w:val="single"/>
      </w:rPr>
    </w:pPr>
    <w:r>
      <w:rPr>
        <w:b/>
        <w:u w:val="single"/>
      </w:rPr>
      <w:tab/>
    </w:r>
    <w:r>
      <w:rPr>
        <w:b/>
        <w:noProof/>
        <w:u w:val="single"/>
      </w:rPr>
      <w:drawing>
        <wp:inline distT="0" distB="0" distL="0" distR="0" wp14:anchorId="30D9EF0B" wp14:editId="33B44B1E">
          <wp:extent cx="2418620" cy="7620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196" cy="765017"/>
                  </a:xfrm>
                  <a:prstGeom prst="rect">
                    <a:avLst/>
                  </a:prstGeom>
                  <a:noFill/>
                  <a:ln>
                    <a:noFill/>
                  </a:ln>
                </pic:spPr>
              </pic:pic>
            </a:graphicData>
          </a:graphic>
        </wp:inline>
      </w:drawing>
    </w:r>
    <w:r>
      <w:rPr>
        <w:b/>
        <w:u w:val="single"/>
      </w:rPr>
      <w:tab/>
    </w:r>
  </w:p>
  <w:p w14:paraId="55A1C657" w14:textId="77777777" w:rsidR="00703D98" w:rsidRDefault="00703D98" w:rsidP="00703D98">
    <w:pPr>
      <w:jc w:val="center"/>
      <w:rPr>
        <w:i/>
        <w:sz w:val="18"/>
        <w:szCs w:val="18"/>
      </w:rPr>
    </w:pPr>
    <w:r>
      <w:rPr>
        <w:i/>
        <w:sz w:val="18"/>
        <w:szCs w:val="18"/>
      </w:rPr>
      <w:t>1385 Hwy. 35</w:t>
    </w:r>
    <w:r w:rsidRPr="009705D8">
      <w:rPr>
        <w:i/>
        <w:sz w:val="18"/>
        <w:szCs w:val="18"/>
      </w:rPr>
      <w:t>,</w:t>
    </w:r>
    <w:r>
      <w:rPr>
        <w:i/>
        <w:sz w:val="18"/>
        <w:szCs w:val="18"/>
      </w:rPr>
      <w:t xml:space="preserve"> Suite 259,</w:t>
    </w:r>
    <w:r w:rsidRPr="009705D8">
      <w:rPr>
        <w:i/>
        <w:sz w:val="18"/>
        <w:szCs w:val="18"/>
      </w:rPr>
      <w:t xml:space="preserve"> Middletown, New Jersey</w:t>
    </w:r>
    <w:r>
      <w:rPr>
        <w:i/>
        <w:sz w:val="18"/>
        <w:szCs w:val="18"/>
      </w:rPr>
      <w:t xml:space="preserve"> 07748</w:t>
    </w:r>
    <w:r w:rsidRPr="009705D8">
      <w:rPr>
        <w:i/>
        <w:sz w:val="18"/>
        <w:szCs w:val="18"/>
      </w:rPr>
      <w:tab/>
    </w:r>
  </w:p>
  <w:p w14:paraId="3A42D45E" w14:textId="77777777" w:rsidR="00703D98" w:rsidRPr="009705D8" w:rsidRDefault="00703D98" w:rsidP="00703D98">
    <w:pPr>
      <w:jc w:val="center"/>
      <w:rPr>
        <w:i/>
        <w:sz w:val="18"/>
        <w:szCs w:val="18"/>
      </w:rPr>
    </w:pPr>
    <w:r w:rsidRPr="009705D8">
      <w:rPr>
        <w:i/>
        <w:sz w:val="18"/>
        <w:szCs w:val="18"/>
      </w:rPr>
      <w:t xml:space="preserve">Web: </w:t>
    </w:r>
    <w:hyperlink r:id="rId2" w:history="1">
      <w:r w:rsidRPr="009705D8">
        <w:rPr>
          <w:rStyle w:val="Hyperlink"/>
          <w:i/>
          <w:sz w:val="18"/>
          <w:szCs w:val="18"/>
        </w:rPr>
        <w:t>www.njpra.org</w:t>
      </w:r>
    </w:hyperlink>
    <w:r>
      <w:rPr>
        <w:i/>
        <w:sz w:val="18"/>
        <w:szCs w:val="18"/>
      </w:rPr>
      <w:t xml:space="preserve"> </w:t>
    </w:r>
    <w:r w:rsidRPr="009705D8">
      <w:rPr>
        <w:i/>
        <w:sz w:val="18"/>
        <w:szCs w:val="18"/>
      </w:rPr>
      <w:t xml:space="preserve">E-mail: </w:t>
    </w:r>
    <w:hyperlink r:id="rId3" w:history="1">
      <w:r w:rsidRPr="009705D8">
        <w:rPr>
          <w:rStyle w:val="Hyperlink"/>
          <w:i/>
          <w:sz w:val="18"/>
          <w:szCs w:val="18"/>
        </w:rPr>
        <w:t>info@njpra.org</w:t>
      </w:r>
    </w:hyperlink>
    <w:r>
      <w:rPr>
        <w:rStyle w:val="Hyperlink"/>
        <w:i/>
        <w:sz w:val="18"/>
        <w:szCs w:val="18"/>
      </w:rPr>
      <w:t xml:space="preserve">  </w:t>
    </w:r>
    <w:r>
      <w:rPr>
        <w:i/>
        <w:sz w:val="18"/>
        <w:szCs w:val="18"/>
      </w:rPr>
      <w:t>Phone: (732) 646-5772  </w:t>
    </w:r>
  </w:p>
  <w:p w14:paraId="3D0D836D" w14:textId="7193FAAA" w:rsidR="00703D98" w:rsidRDefault="00703D98" w:rsidP="00703D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941EB"/>
    <w:multiLevelType w:val="multilevel"/>
    <w:tmpl w:val="5284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E72"/>
    <w:rsid w:val="00005F4A"/>
    <w:rsid w:val="000222BA"/>
    <w:rsid w:val="001E65C5"/>
    <w:rsid w:val="001F69EE"/>
    <w:rsid w:val="00214CCF"/>
    <w:rsid w:val="005D4C7E"/>
    <w:rsid w:val="00653C72"/>
    <w:rsid w:val="00673E72"/>
    <w:rsid w:val="006E1CAE"/>
    <w:rsid w:val="00703D98"/>
    <w:rsid w:val="007E70D0"/>
    <w:rsid w:val="00884719"/>
    <w:rsid w:val="00AF094C"/>
    <w:rsid w:val="00BA1D39"/>
    <w:rsid w:val="00BD0141"/>
    <w:rsid w:val="00D51A70"/>
    <w:rsid w:val="00F94809"/>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EDDAB"/>
  <w15:chartTrackingRefBased/>
  <w15:docId w15:val="{C09C3F72-34E3-8B42-ADB7-CF1294E9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3E72"/>
  </w:style>
  <w:style w:type="paragraph" w:styleId="ListParagraph">
    <w:name w:val="List Paragraph"/>
    <w:basedOn w:val="Normal"/>
    <w:uiPriority w:val="34"/>
    <w:qFormat/>
    <w:rsid w:val="00673E7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03D98"/>
    <w:pPr>
      <w:tabs>
        <w:tab w:val="center" w:pos="4680"/>
        <w:tab w:val="right" w:pos="9360"/>
      </w:tabs>
    </w:pPr>
  </w:style>
  <w:style w:type="character" w:customStyle="1" w:styleId="HeaderChar">
    <w:name w:val="Header Char"/>
    <w:basedOn w:val="DefaultParagraphFont"/>
    <w:link w:val="Header"/>
    <w:uiPriority w:val="99"/>
    <w:rsid w:val="00703D98"/>
  </w:style>
  <w:style w:type="paragraph" w:styleId="Footer">
    <w:name w:val="footer"/>
    <w:basedOn w:val="Normal"/>
    <w:link w:val="FooterChar"/>
    <w:uiPriority w:val="99"/>
    <w:unhideWhenUsed/>
    <w:rsid w:val="00703D98"/>
    <w:pPr>
      <w:tabs>
        <w:tab w:val="center" w:pos="4680"/>
        <w:tab w:val="right" w:pos="9360"/>
      </w:tabs>
    </w:pPr>
  </w:style>
  <w:style w:type="character" w:customStyle="1" w:styleId="FooterChar">
    <w:name w:val="Footer Char"/>
    <w:basedOn w:val="DefaultParagraphFont"/>
    <w:link w:val="Footer"/>
    <w:uiPriority w:val="99"/>
    <w:rsid w:val="00703D98"/>
  </w:style>
  <w:style w:type="character" w:styleId="Hyperlink">
    <w:name w:val="Hyperlink"/>
    <w:uiPriority w:val="99"/>
    <w:rsid w:val="00703D98"/>
    <w:rPr>
      <w:rFonts w:cs="Times New Roman"/>
      <w:color w:val="0000FF"/>
      <w:u w:val="single"/>
    </w:rPr>
  </w:style>
  <w:style w:type="character" w:styleId="UnresolvedMention">
    <w:name w:val="Unresolved Mention"/>
    <w:basedOn w:val="DefaultParagraphFont"/>
    <w:uiPriority w:val="99"/>
    <w:semiHidden/>
    <w:unhideWhenUsed/>
    <w:rsid w:val="001E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406">
      <w:bodyDiv w:val="1"/>
      <w:marLeft w:val="0"/>
      <w:marRight w:val="0"/>
      <w:marTop w:val="0"/>
      <w:marBottom w:val="0"/>
      <w:divBdr>
        <w:top w:val="none" w:sz="0" w:space="0" w:color="auto"/>
        <w:left w:val="none" w:sz="0" w:space="0" w:color="auto"/>
        <w:bottom w:val="none" w:sz="0" w:space="0" w:color="auto"/>
        <w:right w:val="none" w:sz="0" w:space="0" w:color="auto"/>
      </w:divBdr>
    </w:div>
    <w:div w:id="448939089">
      <w:bodyDiv w:val="1"/>
      <w:marLeft w:val="0"/>
      <w:marRight w:val="0"/>
      <w:marTop w:val="0"/>
      <w:marBottom w:val="0"/>
      <w:divBdr>
        <w:top w:val="none" w:sz="0" w:space="0" w:color="auto"/>
        <w:left w:val="none" w:sz="0" w:space="0" w:color="auto"/>
        <w:bottom w:val="none" w:sz="0" w:space="0" w:color="auto"/>
        <w:right w:val="none" w:sz="0" w:space="0" w:color="auto"/>
      </w:divBdr>
    </w:div>
    <w:div w:id="937517047">
      <w:bodyDiv w:val="1"/>
      <w:marLeft w:val="0"/>
      <w:marRight w:val="0"/>
      <w:marTop w:val="0"/>
      <w:marBottom w:val="0"/>
      <w:divBdr>
        <w:top w:val="none" w:sz="0" w:space="0" w:color="auto"/>
        <w:left w:val="none" w:sz="0" w:space="0" w:color="auto"/>
        <w:bottom w:val="none" w:sz="0" w:space="0" w:color="auto"/>
        <w:right w:val="none" w:sz="0" w:space="0" w:color="auto"/>
      </w:divBdr>
    </w:div>
    <w:div w:id="131583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iggs@njp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jpr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njpra.org" TargetMode="External"/><Relationship Id="rId2" Type="http://schemas.openxmlformats.org/officeDocument/2006/relationships/hyperlink" Target="http://www.njpra.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Higgs</dc:creator>
  <cp:keywords/>
  <dc:description/>
  <cp:lastModifiedBy>Kimberley Higgs</cp:lastModifiedBy>
  <cp:revision>3</cp:revision>
  <dcterms:created xsi:type="dcterms:W3CDTF">2022-01-20T16:14:00Z</dcterms:created>
  <dcterms:modified xsi:type="dcterms:W3CDTF">2022-01-20T16:15:00Z</dcterms:modified>
</cp:coreProperties>
</file>